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B88A" w14:textId="4A7FC036" w:rsidR="00642A6B" w:rsidRDefault="00642A6B" w:rsidP="00181772">
      <w:pPr>
        <w:rPr>
          <w:rFonts w:ascii="標楷體" w:eastAsia="標楷體" w:hAnsi="標楷體"/>
          <w:sz w:val="32"/>
          <w:szCs w:val="32"/>
        </w:rPr>
      </w:pPr>
    </w:p>
    <w:p w14:paraId="30536059" w14:textId="77777777" w:rsidR="008158DF" w:rsidRDefault="00B57544">
      <w:pPr>
        <w:jc w:val="center"/>
        <w:rPr>
          <w:rFonts w:ascii="標楷體" w:eastAsia="標楷體" w:hAnsi="標楷體"/>
          <w:sz w:val="32"/>
          <w:szCs w:val="32"/>
        </w:rPr>
      </w:pPr>
      <w:r>
        <w:rPr>
          <w:rFonts w:ascii="標楷體" w:eastAsia="標楷體" w:hAnsi="標楷體"/>
          <w:sz w:val="32"/>
          <w:szCs w:val="32"/>
        </w:rPr>
        <w:t xml:space="preserve">教育部學產基金設置低收入戶學生助學金實施要點 </w:t>
      </w:r>
    </w:p>
    <w:p w14:paraId="09A4047C" w14:textId="77777777" w:rsidR="008158DF" w:rsidRDefault="00B57544">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14:paraId="744CCDD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14:paraId="4181347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14:paraId="14C70CE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14:paraId="3346D8E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14:paraId="3FFCE23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14:paraId="637F94A6"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14:paraId="30768C62" w14:textId="77777777"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14:paraId="4EF44A8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14:paraId="0CDC8027"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14:paraId="022D20D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14:paraId="1852060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14:paraId="1DBD917D"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14:paraId="0C831E36"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14:paraId="1D2AC121"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14:paraId="0C3FDBB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14:paraId="08DCD553"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14:paraId="1AF07C77"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14:paraId="16E39442"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14:paraId="33BB763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六、已領有下列補助之一者，不得申請本補助；已領取者，應繳回：</w:t>
      </w:r>
    </w:p>
    <w:p w14:paraId="39B274A5"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(一)公教人員子女教育補助。</w:t>
      </w:r>
    </w:p>
    <w:p w14:paraId="0E31A9EC" w14:textId="206051CB"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14:paraId="22507D41"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14:paraId="04E1FB23"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14:paraId="6C6C1CF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14:paraId="0AA12DB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14:paraId="64639F9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(七)特殊境遇家庭子女孫子女就讀高級中等以上學校學雜費減免。</w:t>
      </w:r>
    </w:p>
    <w:p w14:paraId="5CEF5DF1"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14:paraId="65F3D5D1"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14:paraId="565EA903" w14:textId="77777777"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(十)行政院國軍退除役官兵輔導委員會之清寒榮民及清寒遺眷子女獎助學金。</w:t>
      </w:r>
    </w:p>
    <w:p w14:paraId="0886BC1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14:paraId="33EBB78C"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(十二)行政院農業委員會之農漁民子女助學金。</w:t>
      </w:r>
    </w:p>
    <w:p w14:paraId="74ED37D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14:paraId="4B8540D3"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14:paraId="5214BE2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14:paraId="00D1019F" w14:textId="77777777"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14:paraId="6D37DD7E" w14:textId="77777777"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14:paraId="1339157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14:paraId="0FF99B27"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14:paraId="75C1D2A0"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14:paraId="27BA2B7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sectPr w:rsidR="008158DF">
      <w:footerReference w:type="default" r:id="rId8"/>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0A63" w14:textId="77777777" w:rsidR="00113783" w:rsidRDefault="00113783">
      <w:r>
        <w:separator/>
      </w:r>
    </w:p>
  </w:endnote>
  <w:endnote w:type="continuationSeparator" w:id="0">
    <w:p w14:paraId="198DC47F" w14:textId="77777777" w:rsidR="00113783" w:rsidRDefault="0011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B27A" w14:textId="77777777" w:rsidR="007C78A7" w:rsidRDefault="007C78A7">
    <w:pPr>
      <w:pStyle w:val="ab"/>
    </w:pPr>
    <w:r>
      <w:rPr>
        <w:noProof/>
      </w:rPr>
      <mc:AlternateContent>
        <mc:Choice Requires="wps">
          <w:drawing>
            <wp:anchor distT="0" distB="0" distL="114300" distR="114300" simplePos="0" relativeHeight="251671552" behindDoc="0" locked="0" layoutInCell="1" allowOverlap="1" wp14:anchorId="7B776CBC" wp14:editId="2F935193">
              <wp:simplePos x="0" y="0"/>
              <wp:positionH relativeFrom="margin">
                <wp:posOffset>3028950</wp:posOffset>
              </wp:positionH>
              <wp:positionV relativeFrom="paragraph">
                <wp:posOffset>-1270</wp:posOffset>
              </wp:positionV>
              <wp:extent cx="251460" cy="213360"/>
              <wp:effectExtent l="0" t="0" r="15240" b="15240"/>
              <wp:wrapSquare wrapText="bothSides"/>
              <wp:docPr id="7" name="文字方塊 5"/>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a:noFill/>
                        <a:prstDash/>
                      </a:ln>
                    </wps:spPr>
                    <wps:txbx>
                      <w:txbxContent>
                        <w:p w14:paraId="3BDE099C" w14:textId="77777777" w:rsidR="007C78A7" w:rsidRDefault="007C78A7">
                          <w:pPr>
                            <w:pStyle w:val="ab"/>
                          </w:pPr>
                          <w:r>
                            <w:rPr>
                              <w:rStyle w:val="ad"/>
                            </w:rPr>
                            <w:fldChar w:fldCharType="begin"/>
                          </w:r>
                          <w:r>
                            <w:rPr>
                              <w:rStyle w:val="ad"/>
                            </w:rPr>
                            <w:instrText xml:space="preserve"> PAGE </w:instrText>
                          </w:r>
                          <w:r>
                            <w:rPr>
                              <w:rStyle w:val="ad"/>
                            </w:rPr>
                            <w:fldChar w:fldCharType="separate"/>
                          </w:r>
                          <w:r w:rsidR="002F6142">
                            <w:rPr>
                              <w:rStyle w:val="ad"/>
                              <w:noProof/>
                            </w:rPr>
                            <w:t>19</w:t>
                          </w:r>
                          <w:r>
                            <w:rPr>
                              <w:rStyle w:val="ad"/>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EE0CE07" id="_x0000_t202" coordsize="21600,21600" o:spt="202" path="m,l,21600r21600,l21600,xe">
              <v:stroke joinstyle="miter"/>
              <v:path gradientshapeok="t" o:connecttype="rect"/>
            </v:shapetype>
            <v:shape id="文字方塊 5" o:spid="_x0000_s1054" type="#_x0000_t202" style="position:absolute;margin-left:238.5pt;margin-top:-.1pt;width:19.8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FRswEAAGIDAAAOAAAAZHJzL2Uyb0RvYy54bWysU12vEyEQfTfxPxDeLW2v3phNtzdqc43J&#10;jZpUfwBloUsCDDK0u/XXO7D9uLm+GV/YYQYO55yZXT2M3rGjTmghtHwxm3Omg4LOhn3Lf/54fPOe&#10;M8wydNJB0C0/aeQP69evVkNs9BJ6cJ1OjEACNkNseZ9zbIRA1WsvcQZRByoaSF5m2qa96JIcCN07&#10;sZzP78UAqYsJlEak7GYq8nXFN0ar/M0Y1Jm5lhO3XNdU111ZxXolm32SsbfqTEP+AwsvbaBHr1Ab&#10;mSU7JPsXlLcqAYLJMwVegDFW6aqB1CzmL9Rsexl11ULmYLzahP8PVn09buP3xPL4EUZqYDFkiNgg&#10;JYue0SRfvsSUUZ0sPF1t02NmipLLd4u391RRVFou7u4oJhRxuxwT5s8aPCtByxN1pZolj0+Yp6OX&#10;I+WtAI/WudoZF14kyrmNxH66VcriRrdEedyNzHbPpOygO5FCGlJ6u4f0m7OBGt5y/HWQSXPmvgRy&#10;tEzHJUiXYHcJZFB0teWZsyn8lKcpojZGmZ/CNqqCMdH9cMhgbJVWOE0MzlSpkdWc89CVSXm+r6du&#10;v8b6DwAAAP//AwBQSwMEFAAGAAgAAAAhANIVloTfAAAACAEAAA8AAABkcnMvZG93bnJldi54bWxM&#10;j81OwzAQhO9IvIO1SNxapz+kELKpKgQnJEQaDhydeJtYjdchdtvw9pgTHEczmvkm3062F2cavXGM&#10;sJgnIIgbpw23CB/Vy+wehA+KteodE8I3edgW11e5yrS7cEnnfWhFLGGfKYQuhCGT0jcdWeXnbiCO&#10;3sGNVoUox1bqUV1iue3lMklSaZXhuNCpgZ46ao77k0XYfXL5bL7e6vfyUJqqekj4NT0i3t5Mu0cQ&#10;gabwF4Zf/IgORWSq3Ym1Fz3CerOJXwLCbAki+neLNAVRI6xWa5BFLv8fKH4AAAD//wMAUEsBAi0A&#10;FAAGAAgAAAAhALaDOJL+AAAA4QEAABMAAAAAAAAAAAAAAAAAAAAAAFtDb250ZW50X1R5cGVzXS54&#10;bWxQSwECLQAUAAYACAAAACEAOP0h/9YAAACUAQAACwAAAAAAAAAAAAAAAAAvAQAAX3JlbHMvLnJl&#10;bHNQSwECLQAUAAYACAAAACEAtFsRUbMBAABiAwAADgAAAAAAAAAAAAAAAAAuAgAAZHJzL2Uyb0Rv&#10;Yy54bWxQSwECLQAUAAYACAAAACEA0hWWhN8AAAAIAQAADwAAAAAAAAAAAAAAAAANBAAAZHJzL2Rv&#10;d25yZXYueG1sUEsFBgAAAAAEAAQA8wAAABkFAAAAAA==&#10;" filled="f" stroked="f">
              <v:textbox inset="0,0,0,0">
                <w:txbxContent>
                  <w:p w14:paraId="74FBD137" w14:textId="77777777" w:rsidR="007C78A7" w:rsidRDefault="007C78A7">
                    <w:pPr>
                      <w:pStyle w:val="ab"/>
                    </w:pPr>
                    <w:r>
                      <w:rPr>
                        <w:rStyle w:val="ad"/>
                      </w:rPr>
                      <w:fldChar w:fldCharType="begin"/>
                    </w:r>
                    <w:r>
                      <w:rPr>
                        <w:rStyle w:val="ad"/>
                      </w:rPr>
                      <w:instrText xml:space="preserve"> PAGE </w:instrText>
                    </w:r>
                    <w:r>
                      <w:rPr>
                        <w:rStyle w:val="ad"/>
                      </w:rPr>
                      <w:fldChar w:fldCharType="separate"/>
                    </w:r>
                    <w:r w:rsidR="002F6142">
                      <w:rPr>
                        <w:rStyle w:val="ad"/>
                        <w:noProof/>
                      </w:rPr>
                      <w:t>19</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9149" w14:textId="77777777" w:rsidR="00113783" w:rsidRDefault="00113783">
      <w:r>
        <w:rPr>
          <w:color w:val="000000"/>
        </w:rPr>
        <w:separator/>
      </w:r>
    </w:p>
  </w:footnote>
  <w:footnote w:type="continuationSeparator" w:id="0">
    <w:p w14:paraId="1A6AF11C" w14:textId="77777777" w:rsidR="00113783" w:rsidRDefault="0011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55D"/>
    <w:multiLevelType w:val="hybridMultilevel"/>
    <w:tmpl w:val="2E8CFFD0"/>
    <w:lvl w:ilvl="0" w:tplc="25CC8E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2"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33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DF"/>
    <w:rsid w:val="00024B29"/>
    <w:rsid w:val="00024B73"/>
    <w:rsid w:val="00033825"/>
    <w:rsid w:val="000A702E"/>
    <w:rsid w:val="000B1626"/>
    <w:rsid w:val="000B3601"/>
    <w:rsid w:val="000F4DDA"/>
    <w:rsid w:val="001113A2"/>
    <w:rsid w:val="00113783"/>
    <w:rsid w:val="001145A7"/>
    <w:rsid w:val="00177230"/>
    <w:rsid w:val="00181772"/>
    <w:rsid w:val="001D7CC9"/>
    <w:rsid w:val="001F6A12"/>
    <w:rsid w:val="0021735B"/>
    <w:rsid w:val="00232595"/>
    <w:rsid w:val="00232C31"/>
    <w:rsid w:val="002523E0"/>
    <w:rsid w:val="00262978"/>
    <w:rsid w:val="0027010A"/>
    <w:rsid w:val="002A1542"/>
    <w:rsid w:val="002F6142"/>
    <w:rsid w:val="00302E00"/>
    <w:rsid w:val="0030461E"/>
    <w:rsid w:val="00315ECE"/>
    <w:rsid w:val="00323A8D"/>
    <w:rsid w:val="003A3E52"/>
    <w:rsid w:val="003A575A"/>
    <w:rsid w:val="003C6D5B"/>
    <w:rsid w:val="003F5322"/>
    <w:rsid w:val="0043107A"/>
    <w:rsid w:val="0046046E"/>
    <w:rsid w:val="004B1619"/>
    <w:rsid w:val="00574A55"/>
    <w:rsid w:val="005851DE"/>
    <w:rsid w:val="005A3532"/>
    <w:rsid w:val="005A37CC"/>
    <w:rsid w:val="005A47FE"/>
    <w:rsid w:val="005B1392"/>
    <w:rsid w:val="005E55B2"/>
    <w:rsid w:val="00605D2D"/>
    <w:rsid w:val="00626FC3"/>
    <w:rsid w:val="00642A6B"/>
    <w:rsid w:val="00650ECF"/>
    <w:rsid w:val="006C1946"/>
    <w:rsid w:val="006C6B59"/>
    <w:rsid w:val="006E48AD"/>
    <w:rsid w:val="00702253"/>
    <w:rsid w:val="00713FF4"/>
    <w:rsid w:val="00795656"/>
    <w:rsid w:val="007C78A7"/>
    <w:rsid w:val="007D55D1"/>
    <w:rsid w:val="007F4AC3"/>
    <w:rsid w:val="00801C0A"/>
    <w:rsid w:val="008158DF"/>
    <w:rsid w:val="00815D24"/>
    <w:rsid w:val="008611BB"/>
    <w:rsid w:val="008C1675"/>
    <w:rsid w:val="008D1178"/>
    <w:rsid w:val="008D4730"/>
    <w:rsid w:val="009A1DB3"/>
    <w:rsid w:val="009A26F2"/>
    <w:rsid w:val="00A37212"/>
    <w:rsid w:val="00A52F02"/>
    <w:rsid w:val="00A70DE5"/>
    <w:rsid w:val="00A83EDD"/>
    <w:rsid w:val="00AB0F48"/>
    <w:rsid w:val="00AD41F6"/>
    <w:rsid w:val="00AE07FD"/>
    <w:rsid w:val="00AE0A9B"/>
    <w:rsid w:val="00B352FA"/>
    <w:rsid w:val="00B50CD1"/>
    <w:rsid w:val="00B57544"/>
    <w:rsid w:val="00B62971"/>
    <w:rsid w:val="00B71420"/>
    <w:rsid w:val="00BD5B9E"/>
    <w:rsid w:val="00C604A2"/>
    <w:rsid w:val="00C8084F"/>
    <w:rsid w:val="00C92234"/>
    <w:rsid w:val="00C94588"/>
    <w:rsid w:val="00C95632"/>
    <w:rsid w:val="00CD27B5"/>
    <w:rsid w:val="00CF1EA4"/>
    <w:rsid w:val="00D17141"/>
    <w:rsid w:val="00D5405F"/>
    <w:rsid w:val="00DB301C"/>
    <w:rsid w:val="00E113AA"/>
    <w:rsid w:val="00E20FC2"/>
    <w:rsid w:val="00E53C6B"/>
    <w:rsid w:val="00E64F45"/>
    <w:rsid w:val="00E76D64"/>
    <w:rsid w:val="00EB3F08"/>
    <w:rsid w:val="00ED1BFA"/>
    <w:rsid w:val="00F05A1F"/>
    <w:rsid w:val="00F129BE"/>
    <w:rsid w:val="00F248DC"/>
    <w:rsid w:val="00F64C98"/>
    <w:rsid w:val="00F96CF2"/>
    <w:rsid w:val="00FC6FB8"/>
    <w:rsid w:val="00FD0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BE165"/>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702E"/>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customStyle="1" w:styleId="af1">
    <w:name w:val="無間距 字元"/>
    <w:link w:val="af2"/>
    <w:uiPriority w:val="1"/>
    <w:locked/>
    <w:rsid w:val="00574A55"/>
    <w:rPr>
      <w:rFonts w:cs="Calibri"/>
      <w:sz w:val="22"/>
    </w:rPr>
  </w:style>
  <w:style w:type="paragraph" w:styleId="af2">
    <w:name w:val="No Spacing"/>
    <w:link w:val="af1"/>
    <w:uiPriority w:val="1"/>
    <w:qFormat/>
    <w:rsid w:val="00574A55"/>
    <w:pPr>
      <w:autoSpaceDN/>
      <w:textAlignment w:val="auto"/>
    </w:pPr>
    <w:rPr>
      <w:rFonts w:cs="Calibri"/>
      <w:sz w:val="22"/>
    </w:rPr>
  </w:style>
  <w:style w:type="paragraph" w:styleId="af3">
    <w:name w:val="Title"/>
    <w:basedOn w:val="a"/>
    <w:next w:val="a"/>
    <w:link w:val="af4"/>
    <w:uiPriority w:val="10"/>
    <w:qFormat/>
    <w:rsid w:val="00713FF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標題 字元"/>
    <w:basedOn w:val="a0"/>
    <w:link w:val="af3"/>
    <w:uiPriority w:val="10"/>
    <w:rsid w:val="00713FF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5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3576">
          <w:marLeft w:val="0"/>
          <w:marRight w:val="0"/>
          <w:marTop w:val="0"/>
          <w:marBottom w:val="0"/>
          <w:divBdr>
            <w:top w:val="none" w:sz="0" w:space="8" w:color="337AB7"/>
            <w:left w:val="none" w:sz="0" w:space="11" w:color="337AB7"/>
            <w:bottom w:val="single" w:sz="6" w:space="8" w:color="337AB7"/>
            <w:right w:val="none" w:sz="0" w:space="11" w:color="337AB7"/>
          </w:divBdr>
        </w:div>
        <w:div w:id="1836411635">
          <w:marLeft w:val="0"/>
          <w:marRight w:val="0"/>
          <w:marTop w:val="0"/>
          <w:marBottom w:val="0"/>
          <w:divBdr>
            <w:top w:val="none" w:sz="0" w:space="0" w:color="auto"/>
            <w:left w:val="none" w:sz="0" w:space="0" w:color="auto"/>
            <w:bottom w:val="none" w:sz="0" w:space="0" w:color="auto"/>
            <w:right w:val="none" w:sz="0" w:space="0" w:color="auto"/>
          </w:divBdr>
        </w:div>
      </w:divsChild>
    </w:div>
    <w:div w:id="175454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9EFE-06AE-47D6-9382-720A8CCE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教育部學產基金低收入戶助學金</dc:title>
  <dc:subject/>
  <dc:creator>學產基金</dc:creator>
  <dc:description/>
  <cp:lastModifiedBy>系統管理員</cp:lastModifiedBy>
  <cp:revision>3</cp:revision>
  <cp:lastPrinted>2022-01-28T05:44:00Z</cp:lastPrinted>
  <dcterms:created xsi:type="dcterms:W3CDTF">2023-08-28T07:46:00Z</dcterms:created>
  <dcterms:modified xsi:type="dcterms:W3CDTF">2023-08-28T07:54:00Z</dcterms:modified>
</cp:coreProperties>
</file>